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CE2A" w14:textId="77777777" w:rsidR="004A5C53" w:rsidRDefault="004A5C53" w:rsidP="004A5C53">
      <w:pPr>
        <w:pStyle w:val="Style7"/>
        <w:widowControl/>
        <w:spacing w:line="240" w:lineRule="auto"/>
        <w:ind w:firstLine="0"/>
        <w:rPr>
          <w:b/>
        </w:rPr>
      </w:pPr>
    </w:p>
    <w:p w14:paraId="576E0356" w14:textId="7506F181" w:rsidR="004A5C53" w:rsidRPr="004A5C53" w:rsidRDefault="00E83571" w:rsidP="004A5C53">
      <w:pPr>
        <w:pStyle w:val="Style7"/>
        <w:widowControl/>
        <w:spacing w:line="240" w:lineRule="auto"/>
        <w:ind w:firstLine="0"/>
        <w:rPr>
          <w:b/>
        </w:rPr>
      </w:pPr>
      <w:r>
        <w:rPr>
          <w:b/>
        </w:rPr>
        <w:t>Хозяйственное право</w:t>
      </w:r>
    </w:p>
    <w:p w14:paraId="3282F187" w14:textId="77777777" w:rsidR="004A5C53" w:rsidRPr="00D51E75" w:rsidRDefault="004A5C53" w:rsidP="00BD7ED2">
      <w:pPr>
        <w:pStyle w:val="Style1"/>
        <w:widowControl/>
        <w:rPr>
          <w:rStyle w:val="FontStyle22"/>
          <w:sz w:val="28"/>
          <w:szCs w:val="28"/>
        </w:rPr>
      </w:pPr>
    </w:p>
    <w:p w14:paraId="6478A879" w14:textId="77777777" w:rsidR="001B36D6" w:rsidRPr="001B36D6" w:rsidRDefault="001B36D6" w:rsidP="001B36D6">
      <w:pPr>
        <w:widowControl/>
        <w:spacing w:after="79" w:line="1" w:lineRule="exact"/>
        <w:rPr>
          <w:sz w:val="28"/>
          <w:szCs w:val="28"/>
        </w:rPr>
      </w:pPr>
    </w:p>
    <w:tbl>
      <w:tblPr>
        <w:tblW w:w="9972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3346"/>
        <w:gridCol w:w="6192"/>
      </w:tblGrid>
      <w:tr w:rsidR="001B36D6" w:rsidRPr="0006475D" w14:paraId="44AECAFF" w14:textId="77777777">
        <w:trPr>
          <w:trHeight w:val="61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2166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E7B2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Название</w:t>
            </w:r>
            <w:r w:rsidR="00CD64A3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="00BF179C">
              <w:rPr>
                <w:rStyle w:val="FontStyle22"/>
                <w:b w:val="0"/>
                <w:sz w:val="24"/>
                <w:szCs w:val="24"/>
              </w:rPr>
              <w:t>специализированного модуля</w:t>
            </w:r>
            <w:r w:rsidR="00A609AE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86DC" w14:textId="2FD6B23D" w:rsidR="001B36D6" w:rsidRDefault="009049AB" w:rsidP="0006475D">
            <w:pPr>
              <w:pStyle w:val="Style7"/>
              <w:widowControl/>
              <w:spacing w:line="240" w:lineRule="auto"/>
              <w:ind w:firstLine="0"/>
            </w:pPr>
            <w:r>
              <w:t>Хозяйственное</w:t>
            </w:r>
            <w:r w:rsidR="000C5A04" w:rsidRPr="000C5A04">
              <w:t xml:space="preserve"> прав</w:t>
            </w:r>
            <w:r>
              <w:t>о</w:t>
            </w:r>
          </w:p>
          <w:p w14:paraId="547C6EAD" w14:textId="77777777" w:rsidR="004A5C53" w:rsidRPr="00D51E75" w:rsidRDefault="004A5C53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sz w:val="24"/>
                <w:szCs w:val="24"/>
              </w:rPr>
            </w:pPr>
          </w:p>
        </w:tc>
      </w:tr>
      <w:tr w:rsidR="001B36D6" w:rsidRPr="0006475D" w14:paraId="60E7E553" w14:textId="77777777"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4EA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A42E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Специальность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41C4" w14:textId="70B86CDE" w:rsidR="001B36D6" w:rsidRPr="009049AB" w:rsidRDefault="009049AB" w:rsidP="00D51E75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sz w:val="24"/>
                <w:szCs w:val="24"/>
              </w:rPr>
            </w:pPr>
            <w:r w:rsidRPr="009049AB">
              <w:rPr>
                <w:spacing w:val="-4"/>
              </w:rPr>
              <w:t>1-27 02 01 Транспортная логистика (по направлениям)</w:t>
            </w:r>
          </w:p>
        </w:tc>
      </w:tr>
      <w:tr w:rsidR="001B36D6" w:rsidRPr="0006475D" w14:paraId="1F106A29" w14:textId="77777777"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9B5C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FC13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Курс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512" w14:textId="115E6058" w:rsidR="001B36D6" w:rsidRPr="00D51E75" w:rsidRDefault="009049AB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3</w:t>
            </w:r>
          </w:p>
        </w:tc>
      </w:tr>
      <w:tr w:rsidR="001B36D6" w:rsidRPr="0006475D" w14:paraId="705B7505" w14:textId="77777777">
        <w:trPr>
          <w:trHeight w:val="2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5978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41BC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Семестр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ADC6" w14:textId="77777777" w:rsidR="001B36D6" w:rsidRPr="00D51E75" w:rsidRDefault="00163EF3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2</w:t>
            </w:r>
          </w:p>
        </w:tc>
      </w:tr>
      <w:tr w:rsidR="001B36D6" w:rsidRPr="0006475D" w14:paraId="701116E2" w14:textId="77777777">
        <w:trPr>
          <w:trHeight w:val="4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36D3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4028" w14:textId="77777777" w:rsidR="001B36D6" w:rsidRPr="00D51E75" w:rsidRDefault="001B36D6" w:rsidP="0006475D">
            <w:pPr>
              <w:pStyle w:val="Style12"/>
              <w:widowControl/>
              <w:spacing w:line="240" w:lineRule="auto"/>
              <w:ind w:left="5" w:hanging="5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E99E" w14:textId="5E6250A4" w:rsidR="001B36D6" w:rsidRPr="00D51E75" w:rsidRDefault="009049AB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3</w:t>
            </w:r>
          </w:p>
        </w:tc>
      </w:tr>
      <w:tr w:rsidR="001B36D6" w:rsidRPr="004F6B54" w14:paraId="7830E0AF" w14:textId="77777777">
        <w:trPr>
          <w:trHeight w:val="64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C50E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9E26" w14:textId="77777777" w:rsidR="001B36D6" w:rsidRPr="00D51E75" w:rsidRDefault="001B36D6" w:rsidP="0006475D">
            <w:pPr>
              <w:pStyle w:val="Style12"/>
              <w:widowControl/>
              <w:spacing w:line="240" w:lineRule="auto"/>
              <w:ind w:left="2" w:hanging="2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FF82" w14:textId="77777777" w:rsidR="001B36D6" w:rsidRPr="00D51E75" w:rsidRDefault="00516E98" w:rsidP="000C5A04">
            <w:pPr>
              <w:pStyle w:val="Style12"/>
              <w:widowControl/>
              <w:spacing w:line="240" w:lineRule="auto"/>
              <w:ind w:left="7" w:right="1531" w:hanging="7"/>
              <w:rPr>
                <w:rStyle w:val="FontStyle22"/>
                <w:b w:val="0"/>
                <w:sz w:val="24"/>
                <w:szCs w:val="24"/>
              </w:rPr>
            </w:pPr>
            <w:r>
              <w:t>Старший преподаватель Гончаренко Татьяна Ивановна</w:t>
            </w:r>
          </w:p>
        </w:tc>
      </w:tr>
      <w:tr w:rsidR="001B36D6" w:rsidRPr="0006475D" w14:paraId="5F44043B" w14:textId="77777777">
        <w:trPr>
          <w:cantSplit/>
          <w:trHeight w:val="147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9E33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D17C" w14:textId="77777777" w:rsidR="001B36D6" w:rsidRPr="00D51E75" w:rsidRDefault="001B36D6" w:rsidP="00E305A1">
            <w:pPr>
              <w:pStyle w:val="Style12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Цел</w:t>
            </w:r>
            <w:r w:rsidR="00D51E75" w:rsidRPr="00D51E75">
              <w:rPr>
                <w:rStyle w:val="FontStyle22"/>
                <w:b w:val="0"/>
                <w:sz w:val="24"/>
                <w:szCs w:val="24"/>
              </w:rPr>
              <w:t>ь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="00BF179C">
              <w:rPr>
                <w:rStyle w:val="FontStyle22"/>
                <w:b w:val="0"/>
                <w:sz w:val="24"/>
                <w:szCs w:val="24"/>
              </w:rPr>
              <w:t>специализированного модуля</w:t>
            </w:r>
            <w:r w:rsidR="00BF179C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5C69" w14:textId="4C8940C4" w:rsidR="001B36D6" w:rsidRPr="000C5A04" w:rsidRDefault="009049AB" w:rsidP="0006475D">
            <w:pPr>
              <w:pStyle w:val="Style12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spacing w:val="-4"/>
              </w:rPr>
              <w:t>И</w:t>
            </w:r>
            <w:r w:rsidRPr="009049AB">
              <w:rPr>
                <w:spacing w:val="-4"/>
              </w:rPr>
              <w:t>зучить законодательство Республики Беларусь в области гражданского и хозяйственного права; правовые нормы, регулирующие отношения и определяющие ответственность в управленческой и хозяйственной деятельности; выработать практические навыки принятия управленческих решений в соответствии с действующим законодательством.</w:t>
            </w:r>
          </w:p>
        </w:tc>
      </w:tr>
      <w:tr w:rsidR="001B36D6" w:rsidRPr="0006475D" w14:paraId="67FF8E80" w14:textId="77777777">
        <w:trPr>
          <w:cantSplit/>
          <w:trHeight w:val="8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2E57" w14:textId="77777777" w:rsidR="001B36D6" w:rsidRPr="00D51E75" w:rsidRDefault="0006475D" w:rsidP="0006475D">
            <w:pPr>
              <w:pStyle w:val="Style13"/>
              <w:widowControl/>
              <w:rPr>
                <w:rStyle w:val="FontStyle21"/>
                <w:b w:val="0"/>
                <w:spacing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9074" w14:textId="77777777" w:rsidR="001B36D6" w:rsidRPr="00D51E75" w:rsidRDefault="001B36D6" w:rsidP="00E305A1">
            <w:pPr>
              <w:pStyle w:val="Style12"/>
              <w:widowControl/>
              <w:spacing w:line="240" w:lineRule="auto"/>
              <w:ind w:firstLine="7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Пререквизиты (обязательная дисциплина)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8B9B" w14:textId="22B5C4C2" w:rsidR="001B36D6" w:rsidRPr="00D51E75" w:rsidRDefault="00E305A1" w:rsidP="000C5A04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«</w:t>
            </w:r>
            <w:r w:rsidR="009049AB">
              <w:rPr>
                <w:rStyle w:val="FontStyle22"/>
                <w:b w:val="0"/>
                <w:sz w:val="24"/>
                <w:szCs w:val="24"/>
              </w:rPr>
              <w:t>Основы права</w:t>
            </w:r>
            <w:r>
              <w:rPr>
                <w:rStyle w:val="FontStyle22"/>
                <w:b w:val="0"/>
                <w:sz w:val="24"/>
                <w:szCs w:val="24"/>
              </w:rPr>
              <w:t>»</w:t>
            </w:r>
          </w:p>
        </w:tc>
      </w:tr>
      <w:tr w:rsidR="001B36D6" w:rsidRPr="0006475D" w14:paraId="421CB8C5" w14:textId="77777777">
        <w:trPr>
          <w:trHeight w:val="276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B27E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7E7C" w14:textId="77777777" w:rsidR="001B36D6" w:rsidRPr="00D51E75" w:rsidRDefault="001B36D6" w:rsidP="00E305A1">
            <w:pPr>
              <w:pStyle w:val="Style12"/>
              <w:widowControl/>
              <w:spacing w:line="240" w:lineRule="auto"/>
              <w:ind w:firstLine="2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 xml:space="preserve">Содержание </w:t>
            </w:r>
            <w:r w:rsidR="00BF179C">
              <w:rPr>
                <w:rStyle w:val="FontStyle22"/>
                <w:b w:val="0"/>
                <w:sz w:val="24"/>
                <w:szCs w:val="24"/>
              </w:rPr>
              <w:t>специализированного модуля</w:t>
            </w:r>
            <w:r w:rsidR="00BF179C" w:rsidRPr="00D51E75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D51E75">
              <w:rPr>
                <w:rStyle w:val="FontStyle22"/>
                <w:b w:val="0"/>
                <w:sz w:val="24"/>
                <w:szCs w:val="24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9129" w14:textId="0AC07176" w:rsidR="000C5A04" w:rsidRPr="004A5C53" w:rsidRDefault="009049AB" w:rsidP="00E83571">
            <w:pPr>
              <w:pStyle w:val="Style12"/>
              <w:spacing w:line="240" w:lineRule="auto"/>
              <w:ind w:left="2" w:hanging="2"/>
              <w:jc w:val="both"/>
              <w:rPr>
                <w:bCs/>
                <w:spacing w:val="-4"/>
              </w:rPr>
            </w:pPr>
            <w:r w:rsidRPr="009049AB">
              <w:rPr>
                <w:iCs/>
                <w:spacing w:val="-4"/>
              </w:rPr>
              <w:t>Общие положения хозяйственного права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Юридические лица и физические лица</w:t>
            </w:r>
            <w:r w:rsidR="00E83571">
              <w:rPr>
                <w:iCs/>
                <w:spacing w:val="-4"/>
              </w:rPr>
              <w:t xml:space="preserve"> </w:t>
            </w:r>
            <w:r w:rsidRPr="009049AB">
              <w:rPr>
                <w:iCs/>
                <w:spacing w:val="-4"/>
              </w:rPr>
              <w:t>как участники хозяйственных правоотношений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Сделки и представительство в хозяйственном праве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Сроки в хозяйственных правоотношениях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Объекты хозяйственных правоотношений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Право собственности субъектов хозяйствования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Хозяйственно-правовой договор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Отдельные виды хозяйственных договоров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Обязательства субъектов хозяйствования из причинения вреда и вследствие неосновательного обогащения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Юридическая ответственность за хозяйственные правонарушения и в сфере хозяйственных отношений</w:t>
            </w:r>
            <w:r w:rsidR="00E83571">
              <w:rPr>
                <w:iCs/>
                <w:spacing w:val="-4"/>
              </w:rPr>
              <w:t xml:space="preserve">. </w:t>
            </w:r>
            <w:r w:rsidRPr="009049AB">
              <w:rPr>
                <w:iCs/>
                <w:spacing w:val="-4"/>
              </w:rPr>
              <w:t>Порядок разрешения хозяйственных споров</w:t>
            </w:r>
            <w:r w:rsidR="000C5A04" w:rsidRPr="00E83571">
              <w:rPr>
                <w:spacing w:val="-4"/>
              </w:rPr>
              <w:t>.</w:t>
            </w:r>
          </w:p>
        </w:tc>
      </w:tr>
      <w:tr w:rsidR="001B36D6" w:rsidRPr="0006475D" w14:paraId="19A78964" w14:textId="77777777">
        <w:trPr>
          <w:trHeight w:val="70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4677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2876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F8AC" w14:textId="0F3AD9C8" w:rsidR="00E83571" w:rsidRPr="00E83571" w:rsidRDefault="00E83571" w:rsidP="00E83571">
            <w:pPr>
              <w:pStyle w:val="Style1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1. </w:t>
            </w:r>
            <w:r w:rsidRPr="00E83571">
              <w:rPr>
                <w:bCs/>
                <w:spacing w:val="-4"/>
              </w:rPr>
              <w:t>Реуцкая, Е.А.. Хозяйственное право. Курс интенсивной подготовки. Минск. «Тетра-системс». 2007. – 352 с.</w:t>
            </w:r>
            <w:r>
              <w:rPr>
                <w:bCs/>
                <w:spacing w:val="-4"/>
              </w:rPr>
              <w:t>,</w:t>
            </w:r>
          </w:p>
          <w:p w14:paraId="20B9F98E" w14:textId="23226B2D" w:rsidR="001B36D6" w:rsidRPr="004A5C53" w:rsidRDefault="00E83571" w:rsidP="00E83571">
            <w:pPr>
              <w:pStyle w:val="Style12"/>
              <w:widowControl/>
              <w:spacing w:line="240" w:lineRule="auto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2. </w:t>
            </w:r>
            <w:r w:rsidRPr="00E83571">
              <w:rPr>
                <w:bCs/>
                <w:spacing w:val="-4"/>
              </w:rPr>
              <w:t>Вабищевич, С.С., Хозяйственное право. С.С. Вабищевич, И.А Маньковский. Минск. «Молодежное», 2007. – 366 с.</w:t>
            </w:r>
          </w:p>
        </w:tc>
      </w:tr>
      <w:tr w:rsidR="001B36D6" w:rsidRPr="0006475D" w14:paraId="3A79967B" w14:textId="77777777">
        <w:trPr>
          <w:trHeight w:val="72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7BC6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287C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Методы преподавания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D073" w14:textId="77777777" w:rsidR="001B36D6" w:rsidRPr="00D51E75" w:rsidRDefault="00D51E75" w:rsidP="0006475D">
            <w:pPr>
              <w:pStyle w:val="Style12"/>
              <w:widowControl/>
              <w:spacing w:line="240" w:lineRule="auto"/>
              <w:ind w:left="7" w:hanging="7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 xml:space="preserve">Компаративный, проблемный, </w:t>
            </w:r>
            <w:r w:rsidR="001B36D6" w:rsidRPr="00D51E75">
              <w:rPr>
                <w:rStyle w:val="FontStyle22"/>
                <w:b w:val="0"/>
                <w:sz w:val="24"/>
                <w:szCs w:val="24"/>
              </w:rPr>
              <w:t>диалогово-эвристический, наглядный, метод формирования личностной значимости знаний</w:t>
            </w:r>
          </w:p>
        </w:tc>
      </w:tr>
      <w:tr w:rsidR="001B36D6" w:rsidRPr="0006475D" w14:paraId="671D2627" w14:textId="77777777"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CA31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AE04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Язык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9EBA" w14:textId="77777777" w:rsidR="001B36D6" w:rsidRPr="00D51E75" w:rsidRDefault="001B36D6" w:rsidP="0006475D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4"/>
                <w:szCs w:val="24"/>
              </w:rPr>
            </w:pPr>
            <w:r w:rsidRPr="00D51E75">
              <w:rPr>
                <w:rStyle w:val="FontStyle22"/>
                <w:b w:val="0"/>
                <w:sz w:val="24"/>
                <w:szCs w:val="24"/>
              </w:rPr>
              <w:t>Русский</w:t>
            </w:r>
          </w:p>
        </w:tc>
      </w:tr>
    </w:tbl>
    <w:p w14:paraId="644D852D" w14:textId="77777777" w:rsidR="00657026" w:rsidRDefault="00657026" w:rsidP="00D51E75"/>
    <w:sectPr w:rsidR="00657026" w:rsidSect="001B36D6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7F"/>
    <w:multiLevelType w:val="hybridMultilevel"/>
    <w:tmpl w:val="E34A1786"/>
    <w:lvl w:ilvl="0" w:tplc="E8964890">
      <w:start w:val="1"/>
      <w:numFmt w:val="decimal"/>
      <w:lvlText w:val="%1"/>
      <w:lvlJc w:val="left"/>
      <w:pPr>
        <w:tabs>
          <w:tab w:val="num" w:pos="1487"/>
        </w:tabs>
        <w:ind w:left="14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C15DF"/>
    <w:multiLevelType w:val="singleLevel"/>
    <w:tmpl w:val="B3F8E476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b w:val="0"/>
        <w:i w:val="0"/>
        <w:sz w:val="28"/>
        <w:szCs w:val="28"/>
      </w:rPr>
    </w:lvl>
  </w:abstractNum>
  <w:num w:numId="1" w16cid:durableId="3015593">
    <w:abstractNumId w:val="1"/>
  </w:num>
  <w:num w:numId="2" w16cid:durableId="14798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D6"/>
    <w:rsid w:val="00062665"/>
    <w:rsid w:val="00063C5C"/>
    <w:rsid w:val="0006475D"/>
    <w:rsid w:val="000B3597"/>
    <w:rsid w:val="000C5A04"/>
    <w:rsid w:val="001047A7"/>
    <w:rsid w:val="00163EF3"/>
    <w:rsid w:val="001B36D6"/>
    <w:rsid w:val="003075F9"/>
    <w:rsid w:val="003512EA"/>
    <w:rsid w:val="00420977"/>
    <w:rsid w:val="00432CFC"/>
    <w:rsid w:val="004A5C53"/>
    <w:rsid w:val="004B1082"/>
    <w:rsid w:val="004F6B54"/>
    <w:rsid w:val="00511D96"/>
    <w:rsid w:val="00516E98"/>
    <w:rsid w:val="00572AC3"/>
    <w:rsid w:val="00625D91"/>
    <w:rsid w:val="006519A2"/>
    <w:rsid w:val="00657026"/>
    <w:rsid w:val="006D035F"/>
    <w:rsid w:val="006F7E4C"/>
    <w:rsid w:val="00702833"/>
    <w:rsid w:val="007F72AE"/>
    <w:rsid w:val="009049AB"/>
    <w:rsid w:val="00A609AE"/>
    <w:rsid w:val="00A938F6"/>
    <w:rsid w:val="00AB2B43"/>
    <w:rsid w:val="00AC017E"/>
    <w:rsid w:val="00B04A4E"/>
    <w:rsid w:val="00B90505"/>
    <w:rsid w:val="00BD7ED2"/>
    <w:rsid w:val="00BF179C"/>
    <w:rsid w:val="00C55AA5"/>
    <w:rsid w:val="00C82C48"/>
    <w:rsid w:val="00CD64A3"/>
    <w:rsid w:val="00D51E75"/>
    <w:rsid w:val="00D64052"/>
    <w:rsid w:val="00DB2C01"/>
    <w:rsid w:val="00DC11E9"/>
    <w:rsid w:val="00E305A1"/>
    <w:rsid w:val="00E83571"/>
    <w:rsid w:val="00EB6F85"/>
    <w:rsid w:val="00EC1073"/>
    <w:rsid w:val="00F1283A"/>
    <w:rsid w:val="00F53723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E9A1"/>
  <w15:docId w15:val="{BB8441E1-B056-45B3-BEE2-D7D1CE4E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6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E75"/>
    <w:pPr>
      <w:keepNext/>
      <w:widowControl/>
      <w:overflowPunct w:val="0"/>
      <w:spacing w:after="120"/>
      <w:jc w:val="center"/>
      <w:textAlignment w:val="baseline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B36D6"/>
    <w:pPr>
      <w:jc w:val="center"/>
    </w:pPr>
  </w:style>
  <w:style w:type="paragraph" w:customStyle="1" w:styleId="Style4">
    <w:name w:val="Style4"/>
    <w:basedOn w:val="a"/>
    <w:rsid w:val="001B36D6"/>
    <w:pPr>
      <w:spacing w:line="187" w:lineRule="exact"/>
    </w:pPr>
  </w:style>
  <w:style w:type="paragraph" w:customStyle="1" w:styleId="Style7">
    <w:name w:val="Style7"/>
    <w:basedOn w:val="a"/>
    <w:rsid w:val="001B36D6"/>
    <w:pPr>
      <w:spacing w:line="185" w:lineRule="exact"/>
      <w:ind w:firstLine="365"/>
    </w:pPr>
  </w:style>
  <w:style w:type="paragraph" w:customStyle="1" w:styleId="Style12">
    <w:name w:val="Style12"/>
    <w:basedOn w:val="a"/>
    <w:rsid w:val="001B36D6"/>
    <w:pPr>
      <w:spacing w:line="187" w:lineRule="exact"/>
    </w:pPr>
  </w:style>
  <w:style w:type="paragraph" w:customStyle="1" w:styleId="Style13">
    <w:name w:val="Style13"/>
    <w:basedOn w:val="a"/>
    <w:rsid w:val="001B36D6"/>
  </w:style>
  <w:style w:type="character" w:customStyle="1" w:styleId="FontStyle21">
    <w:name w:val="Font Style21"/>
    <w:rsid w:val="001B36D6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rsid w:val="001B36D6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D51E75"/>
    <w:rPr>
      <w:b/>
      <w:sz w:val="28"/>
    </w:rPr>
  </w:style>
  <w:style w:type="character" w:styleId="a3">
    <w:name w:val="page number"/>
    <w:rsid w:val="00D51E75"/>
  </w:style>
  <w:style w:type="paragraph" w:styleId="a4">
    <w:name w:val="Balloon Text"/>
    <w:basedOn w:val="a"/>
    <w:semiHidden/>
    <w:rsid w:val="00BF179C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835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описания специализированного модуля по выбору студента</vt:lpstr>
    </vt:vector>
  </TitlesOfParts>
  <Company>BelSUT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описания специализированного модуля по выбору студента</dc:title>
  <dc:subject/>
  <dc:creator>uoevs</dc:creator>
  <cp:keywords/>
  <cp:lastModifiedBy>User</cp:lastModifiedBy>
  <cp:revision>3</cp:revision>
  <cp:lastPrinted>2017-12-20T11:59:00Z</cp:lastPrinted>
  <dcterms:created xsi:type="dcterms:W3CDTF">2024-03-04T13:07:00Z</dcterms:created>
  <dcterms:modified xsi:type="dcterms:W3CDTF">2024-03-04T13:22:00Z</dcterms:modified>
</cp:coreProperties>
</file>